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5B55C6">
        <w:rPr>
          <w:rFonts w:ascii="Calibri Light" w:hAnsi="Calibri Light"/>
          <w:noProof/>
          <w:color w:val="002060"/>
        </w:rPr>
        <w:drawing>
          <wp:inline distT="0" distB="0" distL="0" distR="0" wp14:anchorId="77F3AD89" wp14:editId="5A5559A1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5B55C6">
        <w:rPr>
          <w:rFonts w:ascii="Calibri Light" w:hAnsi="Calibri Light"/>
          <w:b/>
          <w:noProof/>
          <w:color w:val="00206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4EE1" wp14:editId="4B4ADBF7">
                <wp:simplePos x="0" y="0"/>
                <wp:positionH relativeFrom="column">
                  <wp:posOffset>-280670</wp:posOffset>
                </wp:positionH>
                <wp:positionV relativeFrom="paragraph">
                  <wp:posOffset>195580</wp:posOffset>
                </wp:positionV>
                <wp:extent cx="625792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31" w:rsidRPr="008B59EE" w:rsidRDefault="005A0131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B59EE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 w:rsidR="002D413A" w:rsidRPr="008B59EE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BOURSES DE THESES</w:t>
                            </w:r>
                            <w:r w:rsidR="00A07AA2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:rsidR="005A0131" w:rsidRPr="00A86122" w:rsidRDefault="005A0131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A0131" w:rsidRDefault="005A0131" w:rsidP="004F7320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C4EE1" id="Rectangle à coins arrondis 2" o:spid="_x0000_s1026" style="position:absolute;left:0;text-align:left;margin-left:-22.1pt;margin-top:15.4pt;width:4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" fillcolor="#f4b083 [1941]" strokecolor="#f4b083 [1941]" strokeweight="1pt">
                <v:stroke joinstyle="miter"/>
                <v:textbox>
                  <w:txbxContent>
                    <w:p w:rsidR="005A0131" w:rsidRPr="008B59EE" w:rsidRDefault="005A0131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B59EE">
                        <w:rPr>
                          <w:rFonts w:ascii="Calibri Light" w:hAnsi="Calibri Ligh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APPEL A PROJET </w:t>
                      </w:r>
                      <w:r w:rsidR="002D413A" w:rsidRPr="008B59EE">
                        <w:rPr>
                          <w:rFonts w:ascii="Calibri Light" w:hAnsi="Calibri Light"/>
                          <w:b/>
                          <w:color w:val="000000" w:themeColor="text1"/>
                          <w:sz w:val="36"/>
                          <w:szCs w:val="36"/>
                        </w:rPr>
                        <w:t>BOURSES DE THESES</w:t>
                      </w:r>
                      <w:r w:rsidR="00A07AA2">
                        <w:rPr>
                          <w:rFonts w:ascii="Calibri Light" w:hAnsi="Calibri Ligh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2020</w:t>
                      </w:r>
                    </w:p>
                    <w:p w:rsidR="005A0131" w:rsidRPr="00A86122" w:rsidRDefault="005A0131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A0131" w:rsidRDefault="005A0131" w:rsidP="004F7320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14"/>
          <w:szCs w:val="28"/>
        </w:rPr>
      </w:pPr>
    </w:p>
    <w:bookmarkStart w:id="0" w:name="_GoBack"/>
    <w:bookmarkEnd w:id="0"/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5E7C" wp14:editId="2766870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31" w:rsidRPr="008B59EE" w:rsidRDefault="002D413A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59EE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NOTICE DESCRIPTIVE</w:t>
                            </w:r>
                          </w:p>
                          <w:p w:rsidR="005A0131" w:rsidRPr="005B55C6" w:rsidRDefault="005A0131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1E55E7C" id="Rectangle à coins arrondis 3" o:spid="_x0000_s1027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" fillcolor="#f4b083 [1941]" strokecolor="#f4b083 [1941]" strokeweight="1pt">
                <v:stroke joinstyle="miter"/>
                <v:textbox>
                  <w:txbxContent>
                    <w:p w:rsidR="005A0131" w:rsidRPr="008B59EE" w:rsidRDefault="002D413A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B59EE">
                        <w:rPr>
                          <w:rFonts w:ascii="Calibri Light" w:hAnsi="Calibri Light"/>
                          <w:b/>
                          <w:color w:val="000000" w:themeColor="text1"/>
                          <w:sz w:val="32"/>
                          <w:szCs w:val="32"/>
                        </w:rPr>
                        <w:t>NOTICE DESCRIPTIVE</w:t>
                      </w:r>
                    </w:p>
                    <w:p w:rsidR="005A0131" w:rsidRPr="005B55C6" w:rsidRDefault="005A0131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Pr="005B55C6" w:rsidRDefault="004F7320" w:rsidP="002D413A">
      <w:pPr>
        <w:rPr>
          <w:rFonts w:ascii="Calibri Light" w:hAnsi="Calibri Light"/>
          <w:b/>
          <w:color w:val="002060"/>
          <w:sz w:val="22"/>
          <w:szCs w:val="22"/>
        </w:rPr>
      </w:pPr>
    </w:p>
    <w:p w:rsidR="00B606A5" w:rsidRPr="00420E48" w:rsidRDefault="00B606A5" w:rsidP="00B606A5">
      <w:pPr>
        <w:shd w:val="clear" w:color="auto" w:fill="FFFFFF"/>
        <w:rPr>
          <w:rFonts w:ascii="Arial" w:hAnsi="Arial" w:cs="Arial"/>
          <w:color w:val="000000"/>
        </w:rPr>
      </w:pPr>
    </w:p>
    <w:p w:rsidR="00B606A5" w:rsidRDefault="00B606A5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B606A5" w:rsidRDefault="00B606A5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L'Université de la Polynésie française </w:t>
      </w: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prévoie </w:t>
      </w: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d'attribuer 3 contrats do</w:t>
      </w:r>
      <w:r w:rsidR="008A511D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ctoraux au titre de l'année 2020</w:t>
      </w: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. </w:t>
      </w:r>
    </w:p>
    <w:p w:rsidR="00B606A5" w:rsidRDefault="00B606A5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Ces contrats doctoraux d'une durée de 36 mois pourront prendre effet</w:t>
      </w:r>
      <w:r w:rsidR="00D77518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à compter du 1er septembre 2020</w:t>
      </w: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:rsidR="00133E00" w:rsidRPr="008B386A" w:rsidRDefault="00133E00" w:rsidP="005D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9253E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Le contrat doctoral </w:t>
      </w:r>
      <w:r w:rsidR="008B386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 été cré</w:t>
      </w:r>
      <w:r w:rsidR="008B386A" w:rsidRPr="009253E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é par décret du 23 avril 2009</w:t>
      </w:r>
      <w:r w:rsidR="008B386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afin d’apporter un soutien financier aux étudiants qui</w:t>
      </w:r>
      <w:r w:rsidRPr="009253E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préparent </w:t>
      </w:r>
      <w:r w:rsidR="008B386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ou souhaitent préparer </w:t>
      </w:r>
      <w:r w:rsidRPr="009253E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un doctorat. </w:t>
      </w:r>
      <w:r w:rsidR="008B386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Ce contrat d'une durée de trois ans, « </w:t>
      </w:r>
      <w:r w:rsidRPr="009253E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apporte toutes les garanties sociales d'un contrat de travail conforme au droit public</w:t>
      </w:r>
      <w:r w:rsidR="008B386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 »</w:t>
      </w:r>
      <w:r w:rsidRPr="009253E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:rsidR="00133E00" w:rsidRPr="005D0ACC" w:rsidRDefault="008B386A" w:rsidP="005D0A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Ces bourses de thèses reposent sur un financement du Ministère français de l’enseignement supérieur</w:t>
      </w:r>
      <w:r w:rsidR="005D0ACC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, mais peuven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t également </w:t>
      </w:r>
      <w:r w:rsidR="005D0ACC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reposer sur des co-financements</w:t>
      </w:r>
    </w:p>
    <w:p w:rsidR="00133E00" w:rsidRDefault="005D0ACC" w:rsidP="005D0A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Dans le cadre de son contrat doctoral, l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e 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doctorant 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peut se voir confier des tâches uniquement consacré</w:t>
      </w:r>
      <w:r w:rsidR="00D149A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 à la recherche</w:t>
      </w: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, 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mais peut également</w:t>
      </w: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être</w:t>
      </w:r>
      <w:r w:rsidR="00D149A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amené à 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assurer des fonctions d’enseignement ou d’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information scientifique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,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de 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valorisation de la recherche, 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voir des 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missions de conseil ou d'expertise pour les entreprises ou les collectivités publiques</w:t>
      </w:r>
      <w:r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territoriales</w:t>
      </w:r>
      <w:r w:rsidR="00133E00" w:rsidRPr="005D0ACC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:rsidR="00D149A6" w:rsidRPr="005D0ACC" w:rsidRDefault="00D149A6" w:rsidP="005D0A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D210" wp14:editId="54C58455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31" w:rsidRPr="002D413A" w:rsidRDefault="003D12E5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2D413A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Modalités </w:t>
                            </w:r>
                            <w:r w:rsidR="005A0131" w:rsidRPr="002D413A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2D413A" w:rsidRPr="002D413A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356D210" id="Rectangle à coins arrondis 5" o:spid="_x0000_s1028" style="position:absolute;margin-left:0;margin-top:16.4pt;width:492.75pt;height:30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" fillcolor="#f4b083 [1941]" strokecolor="#f4b083 [1941]" strokeweight="1pt">
                <v:stroke joinstyle="miter"/>
                <v:textbox>
                  <w:txbxContent>
                    <w:p w:rsidR="005A0131" w:rsidRPr="002D413A" w:rsidRDefault="003D12E5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2D413A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Modalités </w:t>
                      </w:r>
                      <w:r w:rsidR="005A0131" w:rsidRPr="002D413A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de </w:t>
                      </w:r>
                      <w:r w:rsidR="002D413A" w:rsidRPr="002D413A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candidature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D149A6" w:rsidRDefault="00D149A6" w:rsidP="00D149A6">
      <w:pP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2D413A" w:rsidRDefault="002D413A" w:rsidP="00605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5A0131" w:rsidRDefault="00D149A6" w:rsidP="00605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D149A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dossiers</w:t>
      </w: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de candidature sont constitués et présentés par un porteur de projet </w:t>
      </w:r>
      <w:r w:rsid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qui est le directeur de thèse.</w:t>
      </w:r>
    </w:p>
    <w:p w:rsidR="00605AA1" w:rsidRPr="00B606A5" w:rsidRDefault="00605AA1" w:rsidP="00605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porteurs de projets seront auditionnés (~10 mn) pour conforter</w:t>
      </w:r>
      <w:r w:rsid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la proposition de leur sujet., en cas d’empêchement, un directeur de thèse peut demander à un collègue de présenter à sa place.</w:t>
      </w:r>
    </w:p>
    <w:p w:rsidR="00605AA1" w:rsidRPr="00B606A5" w:rsidRDefault="00605AA1" w:rsidP="002D41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Il convi</w:t>
      </w:r>
      <w:r w:rsid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ent de prévoir un PowerPoint</w:t>
      </w: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à projeter pour animer la présentation.</w:t>
      </w:r>
    </w:p>
    <w:p w:rsidR="004F7320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B606A5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8686" wp14:editId="1C9F8DC3">
                <wp:simplePos x="0" y="0"/>
                <wp:positionH relativeFrom="margin">
                  <wp:posOffset>-166369</wp:posOffset>
                </wp:positionH>
                <wp:positionV relativeFrom="paragraph">
                  <wp:posOffset>203200</wp:posOffset>
                </wp:positionV>
                <wp:extent cx="6191250" cy="3905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31" w:rsidRPr="002D413A" w:rsidRDefault="005A0131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2D413A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Processus de décision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8728686" id="Rectangle à coins arrondis 7" o:spid="_x0000_s1029" style="position:absolute;margin-left:-13.1pt;margin-top:16pt;width:48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" fillcolor="#f4b083 [1941]" strokecolor="#f4b083 [1941]" strokeweight="1pt">
                <v:stroke joinstyle="miter"/>
                <v:textbox>
                  <w:txbxContent>
                    <w:p w:rsidR="005A0131" w:rsidRPr="002D413A" w:rsidRDefault="005A0131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2D413A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Processus de décision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B606A5" w:rsidRDefault="00B606A5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B606A5" w:rsidRDefault="00B606A5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L’arbitrage des candidatures se déroulera dans le cadre d’une réunion </w:t>
      </w:r>
      <w:r w:rsid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du </w:t>
      </w: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Conseil de l'Éco</w:t>
      </w:r>
      <w:r w:rsid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 Doctorale restreint à l'UPF élargi aux enseignants chercheurs membres de la Commission de la Recherche</w:t>
      </w:r>
    </w:p>
    <w:p w:rsidR="002D413A" w:rsidRPr="00B606A5" w:rsidRDefault="002D413A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B606A5" w:rsidRPr="00B606A5" w:rsidRDefault="00B606A5" w:rsidP="00B6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Le conseil procèdera au classement des sujets au cours de la séance programmée en date du </w:t>
      </w:r>
      <w:r w:rsidR="008A511D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10 mars</w:t>
      </w:r>
      <w:r w:rsidR="00D77518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2020</w:t>
      </w:r>
      <w:r w:rsid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 w:rsidRPr="00B606A5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605AA1" w:rsidRDefault="00605AA1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605AA1" w:rsidRDefault="00605AA1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605AA1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E2577" wp14:editId="29C025D7">
                <wp:simplePos x="0" y="0"/>
                <wp:positionH relativeFrom="margin">
                  <wp:posOffset>-194945</wp:posOffset>
                </wp:positionH>
                <wp:positionV relativeFrom="paragraph">
                  <wp:posOffset>228600</wp:posOffset>
                </wp:positionV>
                <wp:extent cx="612457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31" w:rsidRPr="002D413A" w:rsidRDefault="002D413A" w:rsidP="008B59E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Date de Limite de réponse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00E2577" id="Rectangle à coins arrondis 4" o:spid="_x0000_s1030" style="position:absolute;margin-left:-15.35pt;margin-top:18pt;width:48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" fillcolor="#f4b083 [1941]" strokecolor="#f4b083 [1941]" strokeweight="1pt">
                <v:stroke joinstyle="miter"/>
                <v:textbox>
                  <w:txbxContent>
                    <w:p w:rsidR="005A0131" w:rsidRPr="002D413A" w:rsidRDefault="002D413A" w:rsidP="008B59EE">
                      <w:pPr>
                        <w:shd w:val="clear" w:color="auto" w:fill="F4B083" w:themeFill="accent2" w:themeFillTint="99"/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Date de Limite de réponse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605AA1" w:rsidRDefault="00605AA1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605AA1" w:rsidRPr="005B55C6" w:rsidRDefault="00605AA1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La date limite d</w:t>
      </w:r>
      <w:r w:rsid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e retour de la fiche - réponse </w:t>
      </w: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à l’appel à </w:t>
      </w:r>
      <w:r w:rsidR="00B606A5"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bourses </w:t>
      </w: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est fixée au</w:t>
      </w:r>
    </w:p>
    <w:p w:rsidR="002D413A" w:rsidRDefault="002D413A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i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2D413A" w:rsidRDefault="008A511D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i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25</w:t>
      </w:r>
      <w:r w:rsidR="00D77518">
        <w:rPr>
          <w:rFonts w:ascii="Calibri Light" w:hAnsi="Calibri Light"/>
          <w:b/>
          <w:i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février 2020</w:t>
      </w:r>
      <w:r w:rsidR="004F7320" w:rsidRPr="002D413A"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- délai de rigueur.</w:t>
      </w: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Les fiches réponses dûment complétés doivent, impérativement, être signées par le </w:t>
      </w:r>
      <w:r w:rsidR="00B606A5"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porteur de projet </w:t>
      </w: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et le directeur de laboratoire d’accueil.</w:t>
      </w: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La fiche-réponse de demande d’aide aux doctorants doit être </w:t>
      </w:r>
      <w:r w:rsidR="008A511D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retournée par voie électronique</w:t>
      </w:r>
      <w:r w:rsidRPr="002D413A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au secrétariat de l’Ecole Doctorale </w:t>
      </w: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D41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ecole-doctorale@upf.pf</w:t>
      </w:r>
    </w:p>
    <w:p w:rsidR="004F7320" w:rsidRPr="002D413A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C950A9" w:rsidRDefault="00C950A9"/>
    <w:sectPr w:rsidR="00C9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0"/>
    <w:rsid w:val="00133E00"/>
    <w:rsid w:val="002D413A"/>
    <w:rsid w:val="003D12E5"/>
    <w:rsid w:val="004F7320"/>
    <w:rsid w:val="0057207F"/>
    <w:rsid w:val="005A0131"/>
    <w:rsid w:val="005D0ACC"/>
    <w:rsid w:val="00605AA1"/>
    <w:rsid w:val="007A373A"/>
    <w:rsid w:val="008A511D"/>
    <w:rsid w:val="008B386A"/>
    <w:rsid w:val="008B59EE"/>
    <w:rsid w:val="0090021F"/>
    <w:rsid w:val="009C0DB7"/>
    <w:rsid w:val="00A07AA2"/>
    <w:rsid w:val="00B606A5"/>
    <w:rsid w:val="00C950A9"/>
    <w:rsid w:val="00D149A6"/>
    <w:rsid w:val="00D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A23"/>
  <w15:chartTrackingRefBased/>
  <w15:docId w15:val="{9E23E7FD-63A9-4F4E-9DC1-5DE8FB3E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F7320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3E0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33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Hedli</dc:creator>
  <cp:keywords/>
  <dc:description/>
  <cp:lastModifiedBy>flucas</cp:lastModifiedBy>
  <cp:revision>5</cp:revision>
  <dcterms:created xsi:type="dcterms:W3CDTF">2019-12-06T10:45:00Z</dcterms:created>
  <dcterms:modified xsi:type="dcterms:W3CDTF">2020-01-16T01:02:00Z</dcterms:modified>
</cp:coreProperties>
</file>