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E4" w:rsidRPr="009E4DE4" w:rsidRDefault="009E4DE4" w:rsidP="009E4DE4">
      <w:pPr>
        <w:spacing w:after="375" w:line="240" w:lineRule="auto"/>
        <w:ind w:left="863"/>
        <w:jc w:val="right"/>
        <w:outlineLvl w:val="0"/>
        <w:rPr>
          <w:rFonts w:ascii="Arial Narrow" w:eastAsia="Times New Roman" w:hAnsi="Arial Narrow" w:cs="Times New Roman"/>
          <w:b/>
          <w:caps/>
          <w:color w:val="000000"/>
          <w:kern w:val="36"/>
          <w:sz w:val="24"/>
          <w:szCs w:val="24"/>
          <w:lang w:eastAsia="fr-FR"/>
        </w:rPr>
      </w:pPr>
      <w:r w:rsidRPr="009E4DE4">
        <w:rPr>
          <w:rFonts w:ascii="Arial Narrow" w:eastAsia="Times New Roman" w:hAnsi="Arial Narrow" w:cs="Times New Roman"/>
          <w:b/>
          <w:caps/>
          <w:color w:val="000000"/>
          <w:kern w:val="36"/>
          <w:sz w:val="24"/>
          <w:szCs w:val="24"/>
          <w:lang w:eastAsia="fr-FR"/>
        </w:rPr>
        <w:t>CONCOURS ITRF 2019</w:t>
      </w:r>
    </w:p>
    <w:p w:rsidR="009E4DE4" w:rsidRPr="009E4DE4" w:rsidRDefault="009E4DE4" w:rsidP="009E4DE4">
      <w:pPr>
        <w:spacing w:after="225"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Les concours ITRF (Ingénieurs, Techniciens de Recherche et Formation) permettent d’intégrer le monde de l’enseignement supérieur et de la recherche.</w:t>
      </w:r>
    </w:p>
    <w:p w:rsidR="009E4DE4" w:rsidRPr="009E4DE4" w:rsidRDefault="009E4DE4" w:rsidP="009E4DE4">
      <w:pPr>
        <w:spacing w:after="225"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Le Ministère de l’Enseignement Supérieur et de la Recherche recrute chaque année par voie de concours de personnels Ingénieurs, Techniciens de Recherche et de Formation. La diversité des métiers se traduit en 240 emplois-types répartis en 8 branches d’activité professionnelle (B.A.P.). Chacune des BAP représente un domaine de compétences :</w:t>
      </w:r>
    </w:p>
    <w:p w:rsidR="009E4DE4" w:rsidRPr="009E4DE4" w:rsidRDefault="009E4DE4" w:rsidP="00F0711E">
      <w:pPr>
        <w:spacing w:after="0"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BAP A : Sciences du vivant, de la terre et de l’environnement</w:t>
      </w:r>
    </w:p>
    <w:p w:rsidR="009E4DE4" w:rsidRPr="009E4DE4" w:rsidRDefault="009E4DE4" w:rsidP="00F0711E">
      <w:pPr>
        <w:spacing w:after="0"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BAP B : Sciences chimiques et Sciences des matériaux</w:t>
      </w:r>
    </w:p>
    <w:p w:rsidR="009E4DE4" w:rsidRPr="009E4DE4" w:rsidRDefault="009E4DE4" w:rsidP="00F0711E">
      <w:pPr>
        <w:spacing w:after="0"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BAP C : Sciences et l’Ingénieur et instrumentation scientifique</w:t>
      </w:r>
    </w:p>
    <w:p w:rsidR="009E4DE4" w:rsidRPr="009E4DE4" w:rsidRDefault="009E4DE4" w:rsidP="00F0711E">
      <w:pPr>
        <w:spacing w:after="0"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BAP D : Sciences Humaines et Sociales</w:t>
      </w:r>
    </w:p>
    <w:p w:rsidR="009E4DE4" w:rsidRPr="009E4DE4" w:rsidRDefault="009E4DE4" w:rsidP="00F0711E">
      <w:pPr>
        <w:spacing w:after="0"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BAP E : Informatique, Statistiques et Calcul scientifique</w:t>
      </w:r>
    </w:p>
    <w:p w:rsidR="009E4DE4" w:rsidRPr="009E4DE4" w:rsidRDefault="009E4DE4" w:rsidP="00F0711E">
      <w:pPr>
        <w:spacing w:after="0"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BAP F : Culture, Communication, Production et diffusion des savoirs</w:t>
      </w:r>
    </w:p>
    <w:p w:rsidR="009E4DE4" w:rsidRPr="009E4DE4" w:rsidRDefault="009E4DE4" w:rsidP="00F0711E">
      <w:pPr>
        <w:spacing w:after="0"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BAP G : Patrimoine immobilier, Logistique, Restauration et Prévention</w:t>
      </w:r>
    </w:p>
    <w:p w:rsidR="009E4DE4" w:rsidRDefault="009E4DE4" w:rsidP="00F0711E">
      <w:pPr>
        <w:spacing w:after="0"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BAP J: Gestion et Pilotage</w:t>
      </w:r>
    </w:p>
    <w:p w:rsidR="00F0711E" w:rsidRPr="009E4DE4" w:rsidRDefault="00F0711E" w:rsidP="00F0711E">
      <w:pPr>
        <w:spacing w:after="0" w:line="240" w:lineRule="auto"/>
        <w:jc w:val="both"/>
        <w:rPr>
          <w:rFonts w:ascii="Arial Narrow" w:eastAsia="Times New Roman" w:hAnsi="Arial Narrow" w:cs="Helvetica"/>
          <w:color w:val="000000"/>
          <w:sz w:val="24"/>
          <w:szCs w:val="24"/>
          <w:lang w:eastAsia="fr-FR"/>
        </w:rPr>
      </w:pPr>
    </w:p>
    <w:p w:rsidR="009E4DE4" w:rsidRPr="009E4DE4" w:rsidRDefault="009E4DE4" w:rsidP="009E4DE4">
      <w:pPr>
        <w:spacing w:after="165" w:line="240" w:lineRule="auto"/>
        <w:jc w:val="both"/>
        <w:outlineLvl w:val="3"/>
        <w:rPr>
          <w:rFonts w:ascii="Arial Narrow" w:eastAsia="Times New Roman" w:hAnsi="Arial Narrow" w:cs="Helvetica"/>
          <w:color w:val="37838F"/>
          <w:sz w:val="24"/>
          <w:szCs w:val="24"/>
          <w:lang w:eastAsia="fr-FR"/>
        </w:rPr>
      </w:pPr>
      <w:r w:rsidRPr="009E4DE4">
        <w:rPr>
          <w:rFonts w:ascii="Arial Narrow" w:eastAsia="Times New Roman" w:hAnsi="Arial Narrow" w:cs="Helvetica"/>
          <w:color w:val="37838F"/>
          <w:sz w:val="24"/>
          <w:szCs w:val="24"/>
          <w:lang w:eastAsia="fr-FR"/>
        </w:rPr>
        <w:t>INFORMATIONS</w:t>
      </w:r>
    </w:p>
    <w:p w:rsidR="009E4DE4" w:rsidRPr="009E4DE4" w:rsidRDefault="009E4DE4" w:rsidP="009E4DE4">
      <w:pPr>
        <w:spacing w:after="225"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Retrouvez toutes les informations générales (conditions d'inscription, programmes, épreuves...) et le serveur d'inscription sur la </w:t>
      </w:r>
      <w:hyperlink r:id="rId4" w:tgtFrame="_blank" w:tooltip="Lien vers la page d'informations générales du ministère - Nouvelle fenêtre" w:history="1">
        <w:r w:rsidRPr="009E4DE4">
          <w:rPr>
            <w:rFonts w:ascii="Arial Narrow" w:eastAsia="Times New Roman" w:hAnsi="Arial Narrow" w:cs="Helvetica"/>
            <w:color w:val="37838F"/>
            <w:sz w:val="24"/>
            <w:szCs w:val="24"/>
            <w:u w:val="single"/>
            <w:lang w:eastAsia="fr-FR"/>
          </w:rPr>
          <w:t>page dédiée du Ministère de l’Enseignement supérieur et de la recherche</w:t>
        </w:r>
      </w:hyperlink>
      <w:r w:rsidRPr="009E4DE4">
        <w:rPr>
          <w:rFonts w:ascii="Arial Narrow" w:eastAsia="Times New Roman" w:hAnsi="Arial Narrow" w:cs="Helvetica"/>
          <w:color w:val="000000"/>
          <w:sz w:val="24"/>
          <w:szCs w:val="24"/>
          <w:lang w:eastAsia="fr-FR"/>
        </w:rPr>
        <w:t>.</w:t>
      </w:r>
    </w:p>
    <w:p w:rsidR="009E4DE4" w:rsidRPr="009E4DE4" w:rsidRDefault="009E4DE4" w:rsidP="009E4DE4">
      <w:pPr>
        <w:spacing w:after="165" w:line="240" w:lineRule="auto"/>
        <w:jc w:val="both"/>
        <w:outlineLvl w:val="3"/>
        <w:rPr>
          <w:rFonts w:ascii="Arial Narrow" w:eastAsia="Times New Roman" w:hAnsi="Arial Narrow" w:cs="Helvetica"/>
          <w:color w:val="37838F"/>
          <w:sz w:val="24"/>
          <w:szCs w:val="24"/>
          <w:lang w:eastAsia="fr-FR"/>
        </w:rPr>
      </w:pPr>
      <w:r w:rsidRPr="009E4DE4">
        <w:rPr>
          <w:rFonts w:ascii="Arial Narrow" w:eastAsia="Times New Roman" w:hAnsi="Arial Narrow" w:cs="Helvetica"/>
          <w:color w:val="37838F"/>
          <w:sz w:val="24"/>
          <w:szCs w:val="24"/>
          <w:lang w:eastAsia="fr-FR"/>
        </w:rPr>
        <w:t>INSCRIPTIONS</w:t>
      </w:r>
    </w:p>
    <w:p w:rsidR="009E4DE4" w:rsidRPr="009E4DE4" w:rsidRDefault="009E4DE4" w:rsidP="009E4DE4">
      <w:pPr>
        <w:spacing w:after="225"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Les candidats s'inscrivent par Internet du mardi 2 avril 2019, à partir de 12 heures, au mardi 30 avril 2019, 12 heures, heure de Paris.</w:t>
      </w:r>
    </w:p>
    <w:p w:rsidR="009E4DE4" w:rsidRDefault="009E4DE4" w:rsidP="009E4DE4">
      <w:pPr>
        <w:spacing w:after="225" w:line="240" w:lineRule="auto"/>
        <w:jc w:val="both"/>
        <w:rPr>
          <w:rFonts w:ascii="Arial Narrow" w:eastAsia="Times New Roman" w:hAnsi="Arial Narrow" w:cs="Helvetica"/>
          <w:color w:val="000000"/>
          <w:sz w:val="24"/>
          <w:szCs w:val="24"/>
          <w:lang w:eastAsia="fr-FR"/>
        </w:rPr>
      </w:pPr>
      <w:hyperlink r:id="rId5" w:tgtFrame="_blank" w:tooltip="Lien vers le service d'inscription - Nouvelle fenêtre" w:history="1">
        <w:r w:rsidRPr="009E4DE4">
          <w:rPr>
            <w:rFonts w:ascii="Arial Narrow" w:eastAsia="Times New Roman" w:hAnsi="Arial Narrow" w:cs="Helvetica"/>
            <w:color w:val="37838F"/>
            <w:sz w:val="24"/>
            <w:szCs w:val="24"/>
            <w:u w:val="single"/>
            <w:lang w:eastAsia="fr-FR"/>
          </w:rPr>
          <w:t>Accès au service d’inscription</w:t>
        </w:r>
      </w:hyperlink>
    </w:p>
    <w:p w:rsidR="009E4DE4" w:rsidRPr="009E4DE4" w:rsidRDefault="009E4DE4" w:rsidP="009E4DE4">
      <w:pPr>
        <w:spacing w:after="225" w:line="240" w:lineRule="auto"/>
        <w:jc w:val="both"/>
        <w:rPr>
          <w:rFonts w:ascii="Arial Narrow" w:eastAsia="Times New Roman" w:hAnsi="Arial Narrow" w:cs="Helvetica"/>
          <w:b/>
          <w:color w:val="000000"/>
          <w:sz w:val="24"/>
          <w:szCs w:val="24"/>
          <w:lang w:eastAsia="fr-FR"/>
        </w:rPr>
      </w:pPr>
      <w:r>
        <w:rPr>
          <w:rFonts w:ascii="Arial Narrow" w:eastAsia="Times New Roman" w:hAnsi="Arial Narrow" w:cs="Helvetica"/>
          <w:color w:val="000000"/>
          <w:sz w:val="24"/>
          <w:szCs w:val="24"/>
          <w:lang w:eastAsia="fr-FR"/>
        </w:rPr>
        <w:t>Le d</w:t>
      </w:r>
      <w:r w:rsidRPr="009E4DE4">
        <w:rPr>
          <w:rFonts w:ascii="Arial Narrow" w:eastAsia="Times New Roman" w:hAnsi="Arial Narrow" w:cs="Helvetica"/>
          <w:color w:val="000000"/>
          <w:sz w:val="24"/>
          <w:szCs w:val="24"/>
          <w:lang w:eastAsia="fr-FR"/>
        </w:rPr>
        <w:t>ossier de candidature</w:t>
      </w:r>
      <w:r>
        <w:rPr>
          <w:rFonts w:ascii="Arial Narrow" w:eastAsia="Times New Roman" w:hAnsi="Arial Narrow" w:cs="Helvetica"/>
          <w:color w:val="000000"/>
          <w:sz w:val="24"/>
          <w:szCs w:val="24"/>
          <w:lang w:eastAsia="fr-FR"/>
        </w:rPr>
        <w:t xml:space="preserve"> est</w:t>
      </w:r>
      <w:r w:rsidRPr="009E4DE4">
        <w:rPr>
          <w:rFonts w:ascii="Arial Narrow" w:eastAsia="Times New Roman" w:hAnsi="Arial Narrow" w:cs="Helvetica"/>
          <w:color w:val="000000"/>
          <w:sz w:val="24"/>
          <w:szCs w:val="24"/>
          <w:lang w:eastAsia="fr-FR"/>
        </w:rPr>
        <w:t xml:space="preserve"> à impr</w:t>
      </w:r>
      <w:r>
        <w:rPr>
          <w:rFonts w:ascii="Arial Narrow" w:eastAsia="Times New Roman" w:hAnsi="Arial Narrow" w:cs="Helvetica"/>
          <w:color w:val="000000"/>
          <w:sz w:val="24"/>
          <w:szCs w:val="24"/>
          <w:lang w:eastAsia="fr-FR"/>
        </w:rPr>
        <w:t xml:space="preserve">imer depuis le site ministériel, à compléter </w:t>
      </w:r>
      <w:r w:rsidRPr="009E4DE4">
        <w:rPr>
          <w:rFonts w:ascii="Arial Narrow" w:eastAsia="Times New Roman" w:hAnsi="Arial Narrow" w:cs="Helvetica"/>
          <w:color w:val="000000"/>
          <w:sz w:val="24"/>
          <w:szCs w:val="24"/>
          <w:lang w:eastAsia="fr-FR"/>
        </w:rPr>
        <w:t xml:space="preserve">et à envoyer </w:t>
      </w:r>
      <w:r w:rsidRPr="009E4DE4">
        <w:rPr>
          <w:rFonts w:ascii="Arial Narrow" w:eastAsia="Times New Roman" w:hAnsi="Arial Narrow" w:cs="Helvetica"/>
          <w:b/>
          <w:color w:val="000000"/>
          <w:sz w:val="24"/>
          <w:szCs w:val="24"/>
          <w:lang w:eastAsia="fr-FR"/>
        </w:rPr>
        <w:t>par voie postale en recommandé simple</w:t>
      </w:r>
      <w:r>
        <w:rPr>
          <w:rFonts w:ascii="Arial Narrow" w:eastAsia="Times New Roman" w:hAnsi="Arial Narrow" w:cs="Helvetica"/>
          <w:b/>
          <w:color w:val="000000"/>
          <w:sz w:val="24"/>
          <w:szCs w:val="24"/>
          <w:lang w:eastAsia="fr-FR"/>
        </w:rPr>
        <w:t xml:space="preserve"> </w:t>
      </w:r>
      <w:r>
        <w:rPr>
          <w:rFonts w:ascii="Arial Narrow" w:eastAsia="Times New Roman" w:hAnsi="Arial Narrow" w:cs="Helvetica"/>
          <w:color w:val="000000"/>
          <w:sz w:val="24"/>
          <w:szCs w:val="24"/>
          <w:lang w:eastAsia="fr-FR"/>
        </w:rPr>
        <w:t xml:space="preserve">avant </w:t>
      </w:r>
      <w:r w:rsidRPr="009E4DE4">
        <w:rPr>
          <w:rFonts w:ascii="Arial Narrow" w:eastAsia="Times New Roman" w:hAnsi="Arial Narrow" w:cs="Helvetica"/>
          <w:color w:val="000000"/>
          <w:sz w:val="24"/>
          <w:szCs w:val="24"/>
          <w:lang w:eastAsia="fr-FR"/>
        </w:rPr>
        <w:t>clôture des inscriptions, cachet de la poste faisant foi.</w:t>
      </w:r>
    </w:p>
    <w:p w:rsidR="009E4DE4" w:rsidRPr="009E4DE4" w:rsidRDefault="009E4DE4" w:rsidP="009E4DE4">
      <w:pPr>
        <w:spacing w:after="225" w:line="240" w:lineRule="auto"/>
        <w:jc w:val="both"/>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Le dépôt des dossiers ou l’envoi par courrier interne sera refusé.</w:t>
      </w:r>
    </w:p>
    <w:p w:rsidR="009E4DE4" w:rsidRPr="009E4DE4" w:rsidRDefault="009E4DE4" w:rsidP="009E4DE4">
      <w:pPr>
        <w:spacing w:after="165" w:line="240" w:lineRule="auto"/>
        <w:jc w:val="both"/>
        <w:outlineLvl w:val="3"/>
        <w:rPr>
          <w:rFonts w:ascii="Arial Narrow" w:eastAsia="Times New Roman" w:hAnsi="Arial Narrow" w:cs="Helvetica"/>
          <w:color w:val="37838F"/>
          <w:sz w:val="24"/>
          <w:szCs w:val="24"/>
          <w:lang w:eastAsia="fr-FR"/>
        </w:rPr>
      </w:pPr>
      <w:r w:rsidRPr="009E4DE4">
        <w:rPr>
          <w:rFonts w:ascii="Arial Narrow" w:eastAsia="Times New Roman" w:hAnsi="Arial Narrow" w:cs="Helvetica"/>
          <w:color w:val="37838F"/>
          <w:sz w:val="24"/>
          <w:szCs w:val="24"/>
          <w:lang w:eastAsia="fr-FR"/>
        </w:rPr>
        <w:t>CAMPAGNE 2019 DE RECRUTEMENT PAR CONCOURS DE PERSONNELS ITRF</w:t>
      </w:r>
      <w:r w:rsidR="00644D6A">
        <w:rPr>
          <w:rFonts w:ascii="Arial Narrow" w:eastAsia="Times New Roman" w:hAnsi="Arial Narrow" w:cs="Helvetica"/>
          <w:color w:val="37838F"/>
          <w:sz w:val="24"/>
          <w:szCs w:val="24"/>
          <w:lang w:eastAsia="fr-FR"/>
        </w:rPr>
        <w:t xml:space="preserve"> à l’UPF</w:t>
      </w:r>
    </w:p>
    <w:p w:rsidR="009E4DE4" w:rsidRPr="009E4DE4" w:rsidRDefault="009E4DE4" w:rsidP="009E4DE4">
      <w:pPr>
        <w:spacing w:line="240" w:lineRule="auto"/>
        <w:jc w:val="both"/>
        <w:rPr>
          <w:rFonts w:ascii="Arial Narrow" w:eastAsia="Times New Roman" w:hAnsi="Arial Narrow" w:cs="Helvetica"/>
          <w:color w:val="000000"/>
          <w:sz w:val="24"/>
          <w:szCs w:val="24"/>
          <w:lang w:eastAsia="fr-FR"/>
        </w:rPr>
      </w:pPr>
    </w:p>
    <w:tbl>
      <w:tblPr>
        <w:tblW w:w="10916" w:type="dxa"/>
        <w:tblInd w:w="-84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2"/>
        <w:gridCol w:w="776"/>
        <w:gridCol w:w="1069"/>
        <w:gridCol w:w="894"/>
        <w:gridCol w:w="1559"/>
        <w:gridCol w:w="1418"/>
        <w:gridCol w:w="1334"/>
        <w:gridCol w:w="2694"/>
      </w:tblGrid>
      <w:tr w:rsidR="00F0711E" w:rsidRPr="009E4DE4" w:rsidTr="00644D6A">
        <w:trPr>
          <w:trHeight w:val="685"/>
        </w:trPr>
        <w:tc>
          <w:tcPr>
            <w:tcW w:w="11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BAP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Corps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M</w:t>
            </w:r>
            <w:r>
              <w:rPr>
                <w:rFonts w:ascii="Arial Narrow" w:eastAsia="Times New Roman" w:hAnsi="Arial Narrow" w:cs="Helvetica"/>
                <w:color w:val="000000"/>
                <w:sz w:val="24"/>
                <w:szCs w:val="24"/>
                <w:lang w:eastAsia="fr-FR"/>
              </w:rPr>
              <w:t>odalité</w:t>
            </w:r>
          </w:p>
        </w:tc>
        <w:tc>
          <w:tcPr>
            <w:tcW w:w="894" w:type="dxa"/>
            <w:tcBorders>
              <w:top w:val="outset" w:sz="6" w:space="0" w:color="auto"/>
              <w:left w:val="outset" w:sz="6" w:space="0" w:color="auto"/>
              <w:bottom w:val="outset" w:sz="6" w:space="0" w:color="auto"/>
              <w:right w:val="outset" w:sz="6" w:space="0" w:color="auto"/>
            </w:tcBorders>
            <w:shd w:val="clear" w:color="auto" w:fill="FFFFFF"/>
            <w:vAlign w:val="center"/>
          </w:tcPr>
          <w:p w:rsidR="00F0711E" w:rsidRPr="00F0711E"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Nombre de poste</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E</w:t>
            </w:r>
            <w:r>
              <w:rPr>
                <w:rFonts w:ascii="Arial Narrow" w:eastAsia="Times New Roman" w:hAnsi="Arial Narrow" w:cs="Helvetica"/>
                <w:color w:val="000000"/>
                <w:sz w:val="24"/>
                <w:szCs w:val="24"/>
                <w:lang w:eastAsia="fr-FR"/>
              </w:rPr>
              <w:t>mploi type</w:t>
            </w:r>
          </w:p>
        </w:tc>
        <w:tc>
          <w:tcPr>
            <w:tcW w:w="1418"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Affectation</w:t>
            </w:r>
          </w:p>
        </w:tc>
        <w:tc>
          <w:tcPr>
            <w:tcW w:w="13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Fiche de poste</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rsidR="00F0711E" w:rsidRPr="00F0711E"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Composition du jury et dates des épreuves</w:t>
            </w:r>
          </w:p>
        </w:tc>
      </w:tr>
      <w:tr w:rsidR="00F0711E" w:rsidRPr="009E4DE4" w:rsidTr="00644D6A">
        <w:trPr>
          <w:trHeight w:val="1419"/>
        </w:trPr>
        <w:tc>
          <w:tcPr>
            <w:tcW w:w="11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sidRPr="009E4DE4">
              <w:rPr>
                <w:rFonts w:ascii="Arial Narrow" w:eastAsia="Times New Roman" w:hAnsi="Arial Narrow" w:cs="Helvetica"/>
                <w:color w:val="000000"/>
                <w:sz w:val="24"/>
                <w:szCs w:val="24"/>
                <w:lang w:eastAsia="fr-FR"/>
              </w:rPr>
              <w:t xml:space="preserve">BAP </w:t>
            </w:r>
            <w:r w:rsidRPr="00F0711E">
              <w:rPr>
                <w:rFonts w:ascii="Arial Narrow" w:eastAsia="Times New Roman" w:hAnsi="Arial Narrow" w:cs="Helvetica"/>
                <w:color w:val="000000"/>
                <w:sz w:val="24"/>
                <w:szCs w:val="24"/>
                <w:lang w:eastAsia="fr-FR"/>
              </w:rPr>
              <w:t>J</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TECH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Externe</w:t>
            </w:r>
          </w:p>
        </w:tc>
        <w:tc>
          <w:tcPr>
            <w:tcW w:w="894" w:type="dxa"/>
            <w:tcBorders>
              <w:top w:val="outset" w:sz="6" w:space="0" w:color="auto"/>
              <w:left w:val="outset" w:sz="6" w:space="0" w:color="auto"/>
              <w:bottom w:val="outset" w:sz="6" w:space="0" w:color="auto"/>
              <w:right w:val="outset" w:sz="6" w:space="0" w:color="auto"/>
            </w:tcBorders>
            <w:shd w:val="clear" w:color="auto" w:fill="FFFFFF"/>
            <w:vAlign w:val="center"/>
          </w:tcPr>
          <w:p w:rsidR="00F0711E" w:rsidRPr="00F0711E"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0711E" w:rsidRPr="009E4DE4" w:rsidRDefault="00F0711E" w:rsidP="00644D6A">
            <w:pPr>
              <w:spacing w:after="225" w:line="450" w:lineRule="atLeast"/>
              <w:jc w:val="center"/>
              <w:rPr>
                <w:rFonts w:ascii="Arial Narrow" w:eastAsia="Times New Roman" w:hAnsi="Arial Narrow" w:cs="Lucida Sans Unicode"/>
                <w:color w:val="443A31"/>
                <w:sz w:val="24"/>
                <w:szCs w:val="24"/>
                <w:lang w:eastAsia="fr-FR"/>
              </w:rPr>
            </w:pPr>
            <w:proofErr w:type="spellStart"/>
            <w:r>
              <w:rPr>
                <w:rFonts w:ascii="Arial Narrow" w:eastAsia="Times New Roman" w:hAnsi="Arial Narrow" w:cs="Lucida Sans Unicode"/>
                <w:color w:val="443A31"/>
                <w:sz w:val="24"/>
                <w:szCs w:val="24"/>
                <w:lang w:eastAsia="fr-FR"/>
              </w:rPr>
              <w:t>Technicien-ne</w:t>
            </w:r>
            <w:proofErr w:type="spellEnd"/>
            <w:r>
              <w:rPr>
                <w:rFonts w:ascii="Arial Narrow" w:eastAsia="Times New Roman" w:hAnsi="Arial Narrow" w:cs="Lucida Sans Unicode"/>
                <w:color w:val="443A31"/>
                <w:sz w:val="24"/>
                <w:szCs w:val="24"/>
                <w:lang w:eastAsia="fr-FR"/>
              </w:rPr>
              <w:t xml:space="preserve"> en gestion a</w:t>
            </w:r>
            <w:r w:rsidRPr="009E4DE4">
              <w:rPr>
                <w:rFonts w:ascii="Arial Narrow" w:eastAsia="Times New Roman" w:hAnsi="Arial Narrow" w:cs="Lucida Sans Unicode"/>
                <w:color w:val="443A31"/>
                <w:sz w:val="24"/>
                <w:szCs w:val="24"/>
                <w:lang w:eastAsia="fr-FR"/>
              </w:rPr>
              <w:t>dministrative</w:t>
            </w:r>
          </w:p>
        </w:tc>
        <w:tc>
          <w:tcPr>
            <w:tcW w:w="1418"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Direction de la scolarité</w:t>
            </w:r>
          </w:p>
        </w:tc>
        <w:tc>
          <w:tcPr>
            <w:tcW w:w="13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0711E" w:rsidRPr="009E4DE4" w:rsidRDefault="00F0711E" w:rsidP="00644D6A">
            <w:pPr>
              <w:spacing w:after="225" w:line="240" w:lineRule="auto"/>
              <w:jc w:val="center"/>
              <w:rPr>
                <w:rFonts w:ascii="Arial Narrow" w:eastAsia="Times New Roman" w:hAnsi="Arial Narrow" w:cs="Helvetica"/>
                <w:color w:val="000000"/>
                <w:sz w:val="24"/>
                <w:szCs w:val="24"/>
                <w:lang w:eastAsia="fr-FR"/>
              </w:rPr>
            </w:pPr>
            <w:r w:rsidRPr="00F0711E">
              <w:rPr>
                <w:rFonts w:ascii="Arial Narrow" w:eastAsia="Times New Roman" w:hAnsi="Arial Narrow" w:cs="Helvetica"/>
                <w:color w:val="000000"/>
                <w:sz w:val="24"/>
                <w:szCs w:val="24"/>
                <w:lang w:eastAsia="fr-FR"/>
              </w:rPr>
              <w:t>A venir</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rsidR="00F0711E" w:rsidRPr="00F0711E" w:rsidRDefault="000D3B62" w:rsidP="00644D6A">
            <w:pPr>
              <w:spacing w:after="225" w:line="240" w:lineRule="auto"/>
              <w:jc w:val="center"/>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A venir</w:t>
            </w:r>
            <w:bookmarkStart w:id="0" w:name="_GoBack"/>
            <w:bookmarkEnd w:id="0"/>
          </w:p>
        </w:tc>
      </w:tr>
    </w:tbl>
    <w:p w:rsidR="00963FD8" w:rsidRPr="009E4DE4" w:rsidRDefault="000D3B62">
      <w:pPr>
        <w:rPr>
          <w:rFonts w:ascii="Arial Narrow" w:hAnsi="Arial Narrow"/>
          <w:sz w:val="24"/>
          <w:szCs w:val="24"/>
        </w:rPr>
      </w:pPr>
    </w:p>
    <w:p w:rsidR="009E4DE4" w:rsidRPr="009E4DE4" w:rsidRDefault="009E4DE4">
      <w:pPr>
        <w:rPr>
          <w:rFonts w:ascii="Arial Narrow" w:hAnsi="Arial Narrow"/>
          <w:sz w:val="24"/>
          <w:szCs w:val="24"/>
        </w:rPr>
      </w:pPr>
    </w:p>
    <w:sectPr w:rsidR="009E4DE4" w:rsidRPr="009E4DE4" w:rsidSect="00F0711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E4"/>
    <w:rsid w:val="000D3B62"/>
    <w:rsid w:val="00283650"/>
    <w:rsid w:val="005426F7"/>
    <w:rsid w:val="00644D6A"/>
    <w:rsid w:val="009E4DE4"/>
    <w:rsid w:val="00F07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006E"/>
  <w15:chartTrackingRefBased/>
  <w15:docId w15:val="{5A248586-182A-40B4-90BB-C4287E8C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E4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9E4DE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4DE4"/>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9E4DE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9E4D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4DE4"/>
    <w:rPr>
      <w:b/>
      <w:bCs/>
    </w:rPr>
  </w:style>
  <w:style w:type="character" w:styleId="Lienhypertexte">
    <w:name w:val="Hyperlink"/>
    <w:basedOn w:val="Policepardfaut"/>
    <w:uiPriority w:val="99"/>
    <w:unhideWhenUsed/>
    <w:rsid w:val="009E4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94318">
      <w:bodyDiv w:val="1"/>
      <w:marLeft w:val="0"/>
      <w:marRight w:val="0"/>
      <w:marTop w:val="0"/>
      <w:marBottom w:val="0"/>
      <w:divBdr>
        <w:top w:val="none" w:sz="0" w:space="0" w:color="auto"/>
        <w:left w:val="none" w:sz="0" w:space="0" w:color="auto"/>
        <w:bottom w:val="none" w:sz="0" w:space="0" w:color="auto"/>
        <w:right w:val="none" w:sz="0" w:space="0" w:color="auto"/>
      </w:divBdr>
    </w:div>
    <w:div w:id="1886912516">
      <w:bodyDiv w:val="1"/>
      <w:marLeft w:val="0"/>
      <w:marRight w:val="0"/>
      <w:marTop w:val="0"/>
      <w:marBottom w:val="0"/>
      <w:divBdr>
        <w:top w:val="none" w:sz="0" w:space="0" w:color="auto"/>
        <w:left w:val="none" w:sz="0" w:space="0" w:color="auto"/>
        <w:bottom w:val="none" w:sz="0" w:space="0" w:color="auto"/>
        <w:right w:val="none" w:sz="0" w:space="0" w:color="auto"/>
      </w:divBdr>
    </w:div>
    <w:div w:id="1889602902">
      <w:bodyDiv w:val="1"/>
      <w:marLeft w:val="0"/>
      <w:marRight w:val="0"/>
      <w:marTop w:val="0"/>
      <w:marBottom w:val="0"/>
      <w:divBdr>
        <w:top w:val="none" w:sz="0" w:space="0" w:color="auto"/>
        <w:left w:val="none" w:sz="0" w:space="0" w:color="auto"/>
        <w:bottom w:val="none" w:sz="0" w:space="0" w:color="auto"/>
        <w:right w:val="none" w:sz="0" w:space="0" w:color="auto"/>
      </w:divBdr>
    </w:div>
    <w:div w:id="1966429500">
      <w:bodyDiv w:val="1"/>
      <w:marLeft w:val="0"/>
      <w:marRight w:val="0"/>
      <w:marTop w:val="0"/>
      <w:marBottom w:val="0"/>
      <w:divBdr>
        <w:top w:val="none" w:sz="0" w:space="0" w:color="auto"/>
        <w:left w:val="none" w:sz="0" w:space="0" w:color="auto"/>
        <w:bottom w:val="none" w:sz="0" w:space="0" w:color="auto"/>
        <w:right w:val="none" w:sz="0" w:space="0" w:color="auto"/>
      </w:divBdr>
    </w:div>
    <w:div w:id="2086878032">
      <w:bodyDiv w:val="1"/>
      <w:marLeft w:val="0"/>
      <w:marRight w:val="0"/>
      <w:marTop w:val="0"/>
      <w:marBottom w:val="0"/>
      <w:divBdr>
        <w:top w:val="none" w:sz="0" w:space="0" w:color="auto"/>
        <w:left w:val="none" w:sz="0" w:space="0" w:color="auto"/>
        <w:bottom w:val="none" w:sz="0" w:space="0" w:color="auto"/>
        <w:right w:val="none" w:sz="0" w:space="0" w:color="auto"/>
      </w:divBdr>
      <w:divsChild>
        <w:div w:id="1790856264">
          <w:marLeft w:val="0"/>
          <w:marRight w:val="0"/>
          <w:marTop w:val="0"/>
          <w:marBottom w:val="0"/>
          <w:divBdr>
            <w:top w:val="none" w:sz="0" w:space="0" w:color="auto"/>
            <w:left w:val="none" w:sz="0" w:space="0" w:color="auto"/>
            <w:bottom w:val="none" w:sz="0" w:space="0" w:color="auto"/>
            <w:right w:val="none" w:sz="0" w:space="0" w:color="auto"/>
          </w:divBdr>
          <w:divsChild>
            <w:div w:id="21058062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trf.education.gouv.fr/itrf/accueil.jsp" TargetMode="External"/><Relationship Id="rId4" Type="http://schemas.openxmlformats.org/officeDocument/2006/relationships/hyperlink" Target="http://www.enseignementsup-recherche.gouv.fr/pid24789/ingenieurs-et-personnels-techniques-de-recherche-et-de-formation-i.t.r.f.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5429F9BE</Template>
  <TotalTime>24</TotalTime>
  <Pages>1</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la Polynésie Française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Favier</dc:creator>
  <cp:keywords/>
  <dc:description/>
  <cp:lastModifiedBy>Adeline Favier</cp:lastModifiedBy>
  <cp:revision>2</cp:revision>
  <dcterms:created xsi:type="dcterms:W3CDTF">2019-04-03T21:57:00Z</dcterms:created>
  <dcterms:modified xsi:type="dcterms:W3CDTF">2019-04-03T22:21:00Z</dcterms:modified>
</cp:coreProperties>
</file>